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/>
      <w:bookmarkStart w:id="0" w:name="_GoBack"/>
      <w:r/>
      <w:bookmarkEnd w:id="0"/>
      <w:r>
        <w:rPr>
          <w:b/>
        </w:rPr>
        <w:t xml:space="preserve">Пояснительная записка</w:t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к проекту решения Думы Белоярского района</w:t>
      </w:r>
      <w:r>
        <w:rPr>
          <w:b/>
        </w:rPr>
      </w:r>
    </w:p>
    <w:p>
      <w:pPr>
        <w:jc w:val="center"/>
        <w:rPr>
          <w:b/>
          <w:color w:val="000000"/>
          <w:lang w:eastAsia="zh-CN"/>
        </w:rPr>
      </w:pPr>
      <w:r>
        <w:rPr>
          <w:b/>
          <w:bCs/>
        </w:rPr>
        <w:t xml:space="preserve">«</w:t>
      </w:r>
      <w:r>
        <w:rPr>
          <w:b/>
          <w:color w:val="000000"/>
          <w:lang w:eastAsia="zh-CN"/>
        </w:rPr>
        <w:t xml:space="preserve">О согласовании полной замены дотации на выравнивание бюджетной</w:t>
      </w:r>
      <w:r>
        <w:rPr>
          <w:b/>
          <w:color w:val="000000"/>
          <w:lang w:eastAsia="zh-CN"/>
        </w:rPr>
      </w:r>
    </w:p>
    <w:p>
      <w:pPr>
        <w:jc w:val="center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обеспеченности муниципальных районов (городских округов) дополнительными нормативами</w:t>
      </w:r>
      <w:r>
        <w:rPr>
          <w:b/>
          <w:color w:val="000000"/>
          <w:lang w:eastAsia="zh-CN"/>
        </w:rPr>
        <w:t xml:space="preserve"> отчислений от налога на доходы физических лиц </w:t>
      </w:r>
      <w:r>
        <w:rPr>
          <w:b/>
          <w:color w:val="000000"/>
          <w:lang w:eastAsia="zh-CN"/>
        </w:rPr>
      </w:r>
    </w:p>
    <w:p>
      <w:pPr>
        <w:jc w:val="center"/>
        <w:rPr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на 2026 год и на плановый период 2027 и 2028 годов</w:t>
      </w:r>
      <w:r>
        <w:rPr>
          <w:b/>
          <w:bCs/>
        </w:rPr>
        <w:t xml:space="preserve">»</w:t>
      </w:r>
      <w:r>
        <w:rPr>
          <w:color w:val="000000"/>
          <w:lang w:eastAsia="zh-CN"/>
        </w:rPr>
      </w:r>
    </w:p>
    <w:p>
      <w:pPr>
        <w:pStyle w:val="837"/>
      </w:pPr>
      <w:r>
        <w:rPr>
          <w:b/>
          <w:bCs/>
        </w:rPr>
        <w:t xml:space="preserve">(далее – Проект)</w:t>
      </w:r>
      <w:r/>
    </w:p>
    <w:p>
      <w:pPr>
        <w:jc w:val="center"/>
      </w:pPr>
      <w:r/>
      <w:r/>
    </w:p>
    <w:p>
      <w:pPr>
        <w:pStyle w:val="841"/>
        <w:ind w:firstLine="720"/>
        <w:jc w:val="both"/>
        <w:rPr>
          <w:color w:val="000000"/>
        </w:rPr>
      </w:pPr>
      <w:r>
        <w:t xml:space="preserve">В соответствии со статьей 138 Бюджетного кодекса Российской Федерации от</w:t>
      </w:r>
      <w:r>
        <w:br/>
        <w:t xml:space="preserve">31 июля 1998 года № 145-ФЗ, статьями 5, 6 Закона Ханты-Мансийског</w:t>
      </w:r>
      <w:r>
        <w:t xml:space="preserve">о автономного округа – Югры от 10 ноября 2008 года № 132-оз «О межбюджетных отношениях в Ханты-Мансийском автономном округе – Югре» (далее – Закон Ханты-Мансийского автономного округа – Югры от 10 ноября 2008 года № 132-оз), дотации на выравнивание бюджетн</w:t>
      </w:r>
      <w:r>
        <w:t xml:space="preserve">ой обеспеченности муниципальных районов (городских округов) </w:t>
      </w:r>
      <w:r>
        <w:rPr>
          <w:color w:val="000000"/>
        </w:rPr>
        <w:t xml:space="preserve">предусматриваются в бюджете субъекта Российской Федерации в целях </w:t>
      </w:r>
      <w:hyperlink r:id="rId8" w:tooltip="https://login.consultant.ru/link/?req=doc&amp;base=LAW&amp;n=471024&amp;dst=575" w:history="1">
        <w:r>
          <w:rPr>
            <w:color w:val="000000"/>
          </w:rPr>
          <w:t xml:space="preserve">выравнивания</w:t>
        </w:r>
      </w:hyperlink>
      <w:r>
        <w:rPr>
          <w:color w:val="000000"/>
        </w:rPr>
        <w:t xml:space="preserve"> бюджетной обеспеченности муниципальн</w:t>
      </w:r>
      <w:r>
        <w:rPr>
          <w:color w:val="000000"/>
        </w:rPr>
        <w:t xml:space="preserve">ых районов (городских округов).</w:t>
      </w:r>
      <w:r>
        <w:rPr>
          <w:color w:val="000000"/>
        </w:rPr>
      </w:r>
    </w:p>
    <w:p>
      <w:pPr>
        <w:pStyle w:val="841"/>
        <w:ind w:firstLine="720"/>
        <w:jc w:val="both"/>
      </w:pPr>
      <w:r/>
      <w:r/>
    </w:p>
    <w:p>
      <w:pPr>
        <w:pStyle w:val="841"/>
        <w:ind w:firstLine="720"/>
        <w:jc w:val="both"/>
      </w:pPr>
      <w:r>
        <w:t xml:space="preserve">При составлении бюджета региона на новый бюджетный период по согласованию с представительными органами муниципальных образований дотации на выравнивание бюджетной обеспеченности муниципальных районов (городских округов) могу</w:t>
      </w:r>
      <w:r>
        <w:t xml:space="preserve">т быть полностью или частично заменены дополнительными нормативами отчислений от налога на доходы физических лиц в бюджеты муниципальных образований.</w:t>
      </w:r>
      <w:r/>
    </w:p>
    <w:p>
      <w:pPr>
        <w:pStyle w:val="841"/>
        <w:ind w:firstLine="720"/>
        <w:jc w:val="both"/>
      </w:pPr>
      <w:r/>
      <w:r/>
    </w:p>
    <w:p>
      <w:pPr>
        <w:pStyle w:val="841"/>
        <w:ind w:firstLine="720"/>
        <w:jc w:val="both"/>
      </w:pPr>
      <w:r>
        <w:t xml:space="preserve">Дополнительный норматив отчислений в бюджет муниципального района от налога на доходы физических лиц рассч</w:t>
      </w:r>
      <w:r>
        <w:t xml:space="preserve">итывается </w:t>
      </w:r>
      <w:r>
        <w:t xml:space="preserve">согласно методике расчета распределения дотаций на выравнивание бюджетной обеспеченности муниципальных районов (городских округов), утвержденной Законом Ханты-Мансийского автономного округа – Югры</w:t>
        <w:br/>
        <w:t xml:space="preserve">от 10 ноября 2008 года № 132-оз.</w:t>
      </w:r>
      <w:r/>
    </w:p>
    <w:p>
      <w:pPr>
        <w:pStyle w:val="841"/>
        <w:ind w:firstLine="720"/>
        <w:jc w:val="both"/>
      </w:pPr>
      <w:r/>
      <w:r/>
    </w:p>
    <w:p>
      <w:pPr>
        <w:pStyle w:val="841"/>
        <w:ind w:firstLine="720"/>
        <w:jc w:val="both"/>
      </w:pPr>
      <w:r>
        <w:t xml:space="preserve">Согла</w:t>
      </w:r>
      <w:r>
        <w:t xml:space="preserve">сно </w:t>
      </w:r>
      <w:r>
        <w:t xml:space="preserve">расчетным </w:t>
      </w:r>
      <w:r>
        <w:t xml:space="preserve">данным Департамента финансов ХМАО-Югры про</w:t>
      </w:r>
      <w:r>
        <w:t xml:space="preserve">ектируемое распределение дотации</w:t>
      </w:r>
      <w:r>
        <w:t xml:space="preserve"> на выравнивание бюджетной обеспеченности бюджету Белоярского района, подлежащее замене дополнительным нормативом отчислений от НДФЛ на 2026 год и плановый период 2027 и 2028 год</w:t>
      </w:r>
      <w:r>
        <w:t xml:space="preserve">ов, определено в следующих объемах:</w:t>
      </w:r>
      <w:r/>
    </w:p>
    <w:p>
      <w:pPr>
        <w:pStyle w:val="841"/>
        <w:ind w:firstLine="720"/>
        <w:jc w:val="both"/>
      </w:pPr>
      <w:r/>
      <w:r/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577"/>
        <w:gridCol w:w="1637"/>
        <w:gridCol w:w="1441"/>
        <w:gridCol w:w="1416"/>
      </w:tblGrid>
      <w:tr>
        <w:tblPrEx/>
        <w:trPr>
          <w:jc w:val="center"/>
        </w:trPr>
        <w:tc>
          <w:tcPr>
            <w:tcW w:w="4577" w:type="dxa"/>
            <w:textDirection w:val="lrTb"/>
            <w:noWrap w:val="false"/>
          </w:tcPr>
          <w:p>
            <w:pPr>
              <w:pStyle w:val="841"/>
              <w:jc w:val="center"/>
            </w:pPr>
            <w:r>
              <w:t xml:space="preserve">Наименование показателя</w:t>
            </w:r>
            <w:r/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841"/>
              <w:jc w:val="center"/>
            </w:pPr>
            <w:r>
              <w:t xml:space="preserve">2026 год</w:t>
            </w:r>
            <w:r/>
          </w:p>
        </w:tc>
        <w:tc>
          <w:tcPr>
            <w:tcW w:w="1441" w:type="dxa"/>
            <w:textDirection w:val="lrTb"/>
            <w:noWrap w:val="false"/>
          </w:tcPr>
          <w:p>
            <w:pPr>
              <w:pStyle w:val="841"/>
              <w:jc w:val="center"/>
            </w:pPr>
            <w:r>
              <w:t xml:space="preserve">2027 год</w:t>
            </w:r>
            <w:r/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841"/>
              <w:jc w:val="center"/>
            </w:pPr>
            <w:r>
              <w:t xml:space="preserve">2028 год</w:t>
            </w:r>
            <w:r/>
          </w:p>
        </w:tc>
      </w:tr>
      <w:tr>
        <w:tblPrEx/>
        <w:trPr>
          <w:jc w:val="center"/>
        </w:trPr>
        <w:tc>
          <w:tcPr>
            <w:tcW w:w="4577" w:type="dxa"/>
            <w:textDirection w:val="lrTb"/>
            <w:noWrap w:val="false"/>
          </w:tcPr>
          <w:p>
            <w:pPr>
              <w:pStyle w:val="841"/>
            </w:pPr>
            <w:r>
              <w:t xml:space="preserve">Дотации на выравнивание бюджетной обеспеченности муниципальных районов (городских округов), всего (тыс. рублей):</w:t>
            </w:r>
            <w:r/>
          </w:p>
        </w:tc>
        <w:tc>
          <w:tcPr>
            <w:tcW w:w="1637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922 194,0</w:t>
            </w:r>
            <w:r>
              <w:rPr>
                <w:highlight w:val="white"/>
              </w:rPr>
            </w:r>
          </w:p>
        </w:tc>
        <w:tc>
          <w:tcPr>
            <w:tcW w:w="1441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719 860,9</w:t>
            </w:r>
            <w:r>
              <w:rPr>
                <w:highlight w:val="white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797 202,9</w:t>
            </w:r>
            <w:r>
              <w:rPr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4577" w:type="dxa"/>
            <w:textDirection w:val="lrTb"/>
            <w:noWrap w:val="false"/>
          </w:tcPr>
          <w:p>
            <w:pPr>
              <w:pStyle w:val="841"/>
            </w:pPr>
            <w:r>
              <w:t xml:space="preserve">Объем средств, подлежащий к замещению дополнительным нормативом отчислений от НДФЛ при полной замене дотаций,</w:t>
            </w:r>
            <w:r>
              <w:t xml:space="preserve"> </w:t>
            </w:r>
            <w:r>
              <w:t xml:space="preserve">(тыс. рублей)</w:t>
            </w:r>
            <w:r/>
          </w:p>
        </w:tc>
        <w:tc>
          <w:tcPr>
            <w:tcW w:w="1637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922 194,0</w:t>
            </w:r>
            <w:r>
              <w:rPr>
                <w:highlight w:val="white"/>
              </w:rPr>
            </w:r>
          </w:p>
        </w:tc>
        <w:tc>
          <w:tcPr>
            <w:tcW w:w="1441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719 860,9</w:t>
            </w:r>
            <w:r>
              <w:rPr>
                <w:highlight w:val="white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797 202,9</w:t>
            </w:r>
            <w:r>
              <w:rPr>
                <w:highlight w:val="white"/>
              </w:rPr>
            </w:r>
          </w:p>
        </w:tc>
      </w:tr>
      <w:tr>
        <w:tblPrEx/>
        <w:trPr>
          <w:jc w:val="center"/>
          <w:trHeight w:val="1256"/>
        </w:trPr>
        <w:tc>
          <w:tcPr>
            <w:tcW w:w="4577" w:type="dxa"/>
            <w:textDirection w:val="lrTb"/>
            <w:noWrap w:val="false"/>
          </w:tcPr>
          <w:p>
            <w:pPr>
              <w:pStyle w:val="841"/>
            </w:pPr>
            <w:r>
              <w:t xml:space="preserve">Дополнительный норматив отчислений от НДФЛ в бюджет района при полном замещении дотации дополнительным нормативом отчислений от НДФЛ (%)</w:t>
            </w:r>
            <w:r/>
          </w:p>
        </w:tc>
        <w:tc>
          <w:tcPr>
            <w:tcW w:w="1637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32,66</w:t>
            </w:r>
            <w:r>
              <w:rPr>
                <w:highlight w:val="white"/>
              </w:rPr>
            </w:r>
          </w:p>
        </w:tc>
        <w:tc>
          <w:tcPr>
            <w:tcW w:w="1441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23,83</w:t>
            </w:r>
            <w:r>
              <w:rPr>
                <w:highlight w:val="white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24,67</w:t>
            </w:r>
            <w:r>
              <w:rPr>
                <w:highlight w:val="white"/>
              </w:rPr>
            </w:r>
          </w:p>
        </w:tc>
      </w:tr>
    </w:tbl>
    <w:p>
      <w:pPr>
        <w:pStyle w:val="841"/>
        <w:ind w:firstLine="720"/>
        <w:jc w:val="both"/>
      </w:pPr>
      <w:r/>
      <w:r/>
    </w:p>
    <w:p>
      <w:pPr>
        <w:pStyle w:val="841"/>
        <w:ind w:firstLine="720"/>
        <w:jc w:val="both"/>
      </w:pPr>
      <w:r>
        <w:t xml:space="preserve">Настоящим Проектом предлагается на 2026 год и плановый период 2027 и 2028 годов произвести полную з</w:t>
      </w:r>
      <w:r>
        <w:t xml:space="preserve">амену дотации на выравнивание бюджетной обеспеченности муниципальных районов (городских округов), планируемых к перечислению в бюджет района из бюджета автономного округа, дополнительными нормативами отчислений от налога на доходы физических лиц.</w:t>
      </w:r>
      <w:r/>
    </w:p>
    <w:p>
      <w:pPr>
        <w:pStyle w:val="841"/>
        <w:ind w:firstLine="720"/>
        <w:jc w:val="both"/>
      </w:pPr>
      <w:r>
        <w:t xml:space="preserve">При приня</w:t>
      </w:r>
      <w:r>
        <w:t xml:space="preserve">тии данного решения бюджет Белоярского района не будет получателем дотации</w:t>
      </w:r>
      <w:r>
        <w:t xml:space="preserve"> на выравнивание бюджетной обеспеченности </w:t>
      </w:r>
      <w:r>
        <w:t xml:space="preserve">на 2026 год и плановый период 2027 и 2028 годов</w:t>
      </w:r>
      <w:r>
        <w:t xml:space="preserve">:</w:t>
      </w:r>
      <w:r/>
    </w:p>
    <w:p>
      <w:pPr>
        <w:pStyle w:val="841"/>
        <w:ind w:firstLine="720"/>
        <w:jc w:val="both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928"/>
        <w:gridCol w:w="1843"/>
        <w:gridCol w:w="1559"/>
        <w:gridCol w:w="1524"/>
      </w:tblGrid>
      <w:tr>
        <w:tblPrEx/>
        <w:trPr>
          <w:tblHeader/>
        </w:trPr>
        <w:tc>
          <w:tcPr>
            <w:tcW w:w="4928" w:type="dxa"/>
            <w:textDirection w:val="lrTb"/>
            <w:noWrap w:val="false"/>
          </w:tcPr>
          <w:p>
            <w:pPr>
              <w:pStyle w:val="841"/>
              <w:jc w:val="center"/>
            </w:pPr>
            <w:r>
              <w:t xml:space="preserve">Наименование показателя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41"/>
              <w:jc w:val="center"/>
            </w:pPr>
            <w:r>
              <w:t xml:space="preserve">2026 год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41"/>
              <w:jc w:val="center"/>
            </w:pPr>
            <w:r>
              <w:t xml:space="preserve">2027 год</w:t>
            </w:r>
            <w:r/>
          </w:p>
        </w:tc>
        <w:tc>
          <w:tcPr>
            <w:tcW w:w="1524" w:type="dxa"/>
            <w:textDirection w:val="lrTb"/>
            <w:noWrap w:val="false"/>
          </w:tcPr>
          <w:p>
            <w:pPr>
              <w:pStyle w:val="841"/>
              <w:jc w:val="center"/>
            </w:pPr>
            <w:r>
              <w:t xml:space="preserve">2028</w:t>
            </w:r>
            <w:r>
              <w:t xml:space="preserve"> год</w:t>
            </w:r>
            <w:r/>
          </w:p>
        </w:tc>
      </w:tr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pStyle w:val="841"/>
            </w:pPr>
            <w:r>
              <w:t xml:space="preserve">Дотации на выравнивание бюджетной обеспеченности муниципальных районов (городских округов), тыс. рублей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</w:pPr>
            <w:r>
              <w:t xml:space="preserve">0,0</w:t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</w:pPr>
            <w:r>
              <w:t xml:space="preserve">0,0</w:t>
            </w:r>
            <w:r/>
          </w:p>
        </w:tc>
        <w:tc>
          <w:tcPr>
            <w:tcW w:w="1524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</w:pPr>
            <w:r>
              <w:t xml:space="preserve">0,0</w:t>
            </w:r>
            <w:r/>
          </w:p>
        </w:tc>
      </w:tr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pStyle w:val="841"/>
            </w:pPr>
            <w:r>
              <w:t xml:space="preserve">Объем средств, подлежащий к замещению дополнительным нормативом отчислений от НДФЛ при полной замене дотаций,</w:t>
            </w:r>
            <w:r/>
          </w:p>
          <w:p>
            <w:pPr>
              <w:pStyle w:val="841"/>
            </w:pPr>
            <w:r>
              <w:t xml:space="preserve">тыс. рублей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922 194,0</w:t>
            </w:r>
            <w:r>
              <w:rPr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719 860,9</w:t>
            </w:r>
            <w:r>
              <w:rPr>
                <w:highlight w:val="white"/>
              </w:rPr>
            </w:r>
          </w:p>
        </w:tc>
        <w:tc>
          <w:tcPr>
            <w:tcW w:w="1524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797 202,9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pStyle w:val="841"/>
            </w:pPr>
            <w:r>
              <w:t xml:space="preserve">Дополнительный норматив отчислений от НДФЛ в бюджет района при полном замещении дотации дополнительным нормативом отчислений от НДФЛ (%)</w:t>
            </w:r>
            <w:r/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32,66</w:t>
            </w:r>
            <w:r>
              <w:rPr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23,83</w:t>
            </w:r>
            <w:r>
              <w:rPr>
                <w:highlight w:val="white"/>
              </w:rPr>
            </w:r>
          </w:p>
        </w:tc>
        <w:tc>
          <w:tcPr>
            <w:tcW w:w="1524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24,67</w:t>
            </w:r>
            <w:r>
              <w:rPr>
                <w:highlight w:val="white"/>
              </w:rPr>
            </w:r>
          </w:p>
        </w:tc>
      </w:tr>
    </w:tbl>
    <w:p>
      <w:pPr>
        <w:jc w:val="both"/>
      </w:pPr>
      <w:r>
        <w:tab/>
      </w:r>
      <w:r/>
    </w:p>
    <w:p>
      <w:pPr>
        <w:jc w:val="both"/>
      </w:pPr>
      <w:r>
        <w:tab/>
      </w:r>
      <w:r>
        <w:t xml:space="preserve">Принятое решение Думы Белоярского района до 1 октября 2025 года будет направле</w:t>
      </w:r>
      <w:r>
        <w:t xml:space="preserve">но финансовым органом Белоярского района в Департамент финансов ХМАО - Югры.</w:t>
      </w:r>
      <w:r/>
    </w:p>
    <w:p>
      <w:pPr>
        <w:jc w:val="both"/>
      </w:pPr>
      <w:r/>
      <w:r/>
    </w:p>
    <w:p>
      <w:pPr>
        <w:jc w:val="center"/>
        <w:rPr>
          <w:b/>
          <w:color w:val="000000"/>
          <w:lang w:eastAsia="zh-CN"/>
        </w:rPr>
      </w:pPr>
      <w:r>
        <w:rPr>
          <w:b/>
        </w:rPr>
        <w:t xml:space="preserve">Финансово-экономическое обоснование к проекту решения Думы Белоярского района </w:t>
      </w:r>
      <w:r>
        <w:rPr>
          <w:b/>
          <w:bCs/>
        </w:rPr>
        <w:t xml:space="preserve">«</w:t>
      </w:r>
      <w:r>
        <w:rPr>
          <w:b/>
          <w:color w:val="000000"/>
          <w:lang w:eastAsia="zh-CN"/>
        </w:rPr>
        <w:t xml:space="preserve">О согласовании полной замены дотации на выравнивание бюджетной </w:t>
      </w:r>
      <w:r>
        <w:rPr>
          <w:b/>
          <w:color w:val="000000"/>
          <w:lang w:eastAsia="zh-CN"/>
        </w:rPr>
      </w:r>
    </w:p>
    <w:p>
      <w:pPr>
        <w:jc w:val="center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обеспеченности муниципальных районов (городских округов) дополнительными нормативами отчислений от налога на доходы физических лиц </w:t>
      </w:r>
      <w:r>
        <w:rPr>
          <w:b/>
          <w:color w:val="000000"/>
          <w:lang w:eastAsia="zh-CN"/>
        </w:rPr>
      </w:r>
    </w:p>
    <w:p>
      <w:pPr>
        <w:ind w:firstLine="851"/>
        <w:jc w:val="center"/>
      </w:pPr>
      <w:r>
        <w:rPr>
          <w:b/>
          <w:color w:val="000000"/>
          <w:lang w:eastAsia="zh-CN"/>
        </w:rPr>
        <w:t xml:space="preserve">на 2026 год и на плановый период 2027 и 2028 годов</w:t>
      </w:r>
      <w:r>
        <w:rPr>
          <w:b/>
          <w:bCs/>
        </w:rPr>
        <w:t xml:space="preserve">»</w:t>
      </w:r>
      <w:r/>
    </w:p>
    <w:p>
      <w:pPr>
        <w:ind w:firstLine="851"/>
        <w:jc w:val="center"/>
      </w:pPr>
      <w:r/>
      <w:r/>
    </w:p>
    <w:p>
      <w:pPr>
        <w:ind w:firstLine="851"/>
        <w:jc w:val="both"/>
      </w:pPr>
      <w:r>
        <w:t xml:space="preserve">Принятие проекта решения Думы Белоярского района «О согласовании полной</w:t>
      </w:r>
      <w:r>
        <w:t xml:space="preserve"> замены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на 2026 год и на плановый период 2027 и 2028 годов» не потребует дополнительных рас</w:t>
      </w:r>
      <w:r>
        <w:t xml:space="preserve">ходов из бюджета Белоярского района.</w:t>
      </w:r>
      <w:r/>
    </w:p>
    <w:p>
      <w:pPr>
        <w:ind w:firstLine="851"/>
        <w:jc w:val="both"/>
      </w:pPr>
      <w:r/>
      <w:r/>
    </w:p>
    <w:p>
      <w:pPr>
        <w:jc w:val="center"/>
      </w:pPr>
      <w:r>
        <w:t xml:space="preserve">__________________</w:t>
      </w:r>
      <w:r/>
    </w:p>
    <w:sectPr>
      <w:footnotePr/>
      <w:endnotePr/>
      <w:type w:val="nextPage"/>
      <w:pgSz w:w="11906" w:h="16838" w:orient="portrait"/>
      <w:pgMar w:top="851" w:right="850" w:bottom="993" w:left="1418" w:header="708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7"/>
    <w:uiPriority w:val="10"/>
    <w:rPr>
      <w:sz w:val="48"/>
      <w:szCs w:val="48"/>
    </w:rPr>
  </w:style>
  <w:style w:type="character" w:styleId="37">
    <w:name w:val="Subtitle Char"/>
    <w:basedOn w:val="663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43">
    <w:name w:val="Header Char"/>
    <w:basedOn w:val="663"/>
    <w:link w:val="685"/>
    <w:uiPriority w:val="99"/>
  </w:style>
  <w:style w:type="character" w:styleId="45">
    <w:name w:val="Footer Char"/>
    <w:basedOn w:val="663"/>
    <w:link w:val="687"/>
    <w:uiPriority w:val="99"/>
  </w:style>
  <w:style w:type="character" w:styleId="47">
    <w:name w:val="Caption Char"/>
    <w:basedOn w:val="663"/>
    <w:link w:val="689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818"/>
    <w:uiPriority w:val="99"/>
    <w:rPr>
      <w:sz w:val="18"/>
    </w:rPr>
  </w:style>
  <w:style w:type="character" w:styleId="179">
    <w:name w:val="Endnote Text Char"/>
    <w:link w:val="821"/>
    <w:uiPriority w:val="99"/>
    <w:rPr>
      <w:sz w:val="20"/>
    </w:rPr>
  </w:style>
  <w:style w:type="paragraph" w:styleId="653" w:default="1">
    <w:name w:val="Normal"/>
    <w:qFormat/>
    <w:rPr>
      <w:sz w:val="24"/>
      <w:szCs w:val="24"/>
      <w:lang w:eastAsia="ru-RU"/>
    </w:rPr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</w:style>
  <w:style w:type="paragraph" w:styleId="677">
    <w:name w:val="Title"/>
    <w:basedOn w:val="653"/>
    <w:next w:val="653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 w:customStyle="1">
    <w:name w:val="Заголовок Знак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 w:after="200"/>
    </w:pPr>
  </w:style>
  <w:style w:type="character" w:styleId="680" w:customStyle="1">
    <w:name w:val="Подзаголовок Знак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link w:val="685"/>
    <w:uiPriority w:val="99"/>
  </w:style>
  <w:style w:type="paragraph" w:styleId="687">
    <w:name w:val="Footer"/>
    <w:basedOn w:val="653"/>
    <w:link w:val="68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8" w:customStyle="1">
    <w:name w:val="Нижний колонтитул Знак"/>
    <w:link w:val="687"/>
    <w:uiPriority w:val="99"/>
  </w:style>
  <w:style w:type="paragraph" w:styleId="689">
    <w:name w:val="Caption"/>
    <w:basedOn w:val="653"/>
    <w:next w:val="653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 w:customStyle="1">
    <w:name w:val="Название объекта Знак"/>
    <w:link w:val="689"/>
    <w:uiPriority w:val="35"/>
    <w:rPr>
      <w:b/>
      <w:bCs/>
      <w:color w:val="4f81bd" w:themeColor="accent1"/>
      <w:sz w:val="18"/>
      <w:szCs w:val="18"/>
    </w:rPr>
  </w:style>
  <w:style w:type="table" w:styleId="691">
    <w:name w:val="Table Grid"/>
    <w:basedOn w:val="664"/>
    <w:tblPr/>
  </w:style>
  <w:style w:type="table" w:styleId="69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653"/>
    <w:link w:val="819"/>
    <w:uiPriority w:val="99"/>
    <w:semiHidden/>
    <w:unhideWhenUsed/>
    <w:pPr>
      <w:spacing w:after="40"/>
    </w:pPr>
    <w:rPr>
      <w:sz w:val="18"/>
    </w:rPr>
  </w:style>
  <w:style w:type="character" w:styleId="819" w:customStyle="1">
    <w:name w:val="Текст сноски Знак"/>
    <w:link w:val="818"/>
    <w:uiPriority w:val="99"/>
    <w:rPr>
      <w:sz w:val="18"/>
    </w:rPr>
  </w:style>
  <w:style w:type="character" w:styleId="820">
    <w:name w:val="footnote reference"/>
    <w:uiPriority w:val="99"/>
    <w:unhideWhenUsed/>
    <w:rPr>
      <w:vertAlign w:val="superscript"/>
    </w:rPr>
  </w:style>
  <w:style w:type="paragraph" w:styleId="821">
    <w:name w:val="endnote text"/>
    <w:basedOn w:val="653"/>
    <w:link w:val="822"/>
    <w:uiPriority w:val="99"/>
    <w:semiHidden/>
    <w:unhideWhenUsed/>
    <w:rPr>
      <w:sz w:val="20"/>
    </w:rPr>
  </w:style>
  <w:style w:type="character" w:styleId="822" w:customStyle="1">
    <w:name w:val="Текст концевой сноски Знак"/>
    <w:link w:val="821"/>
    <w:uiPriority w:val="99"/>
    <w:rPr>
      <w:sz w:val="20"/>
    </w:rPr>
  </w:style>
  <w:style w:type="character" w:styleId="823">
    <w:name w:val="endnote reference"/>
    <w:uiPriority w:val="99"/>
    <w:semiHidden/>
    <w:unhideWhenUsed/>
    <w:rPr>
      <w:vertAlign w:val="superscript"/>
    </w:rPr>
  </w:style>
  <w:style w:type="paragraph" w:styleId="824">
    <w:name w:val="toc 1"/>
    <w:basedOn w:val="653"/>
    <w:next w:val="653"/>
    <w:uiPriority w:val="39"/>
    <w:unhideWhenUsed/>
    <w:pPr>
      <w:spacing w:after="57"/>
    </w:pPr>
  </w:style>
  <w:style w:type="paragraph" w:styleId="825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6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7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8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9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30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31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2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653"/>
    <w:next w:val="653"/>
    <w:uiPriority w:val="99"/>
    <w:unhideWhenUsed/>
  </w:style>
  <w:style w:type="paragraph" w:styleId="835">
    <w:name w:val="Balloon Text"/>
    <w:basedOn w:val="653"/>
    <w:link w:val="836"/>
    <w:rPr>
      <w:rFonts w:ascii="Tahoma" w:hAnsi="Tahoma" w:cs="Tahoma"/>
      <w:sz w:val="16"/>
      <w:szCs w:val="16"/>
    </w:rPr>
  </w:style>
  <w:style w:type="character" w:styleId="836" w:customStyle="1">
    <w:name w:val="Текст выноски Знак"/>
    <w:link w:val="835"/>
    <w:rPr>
      <w:rFonts w:ascii="Tahoma" w:hAnsi="Tahoma" w:cs="Tahoma"/>
      <w:sz w:val="16"/>
      <w:szCs w:val="16"/>
    </w:rPr>
  </w:style>
  <w:style w:type="paragraph" w:styleId="837">
    <w:name w:val="Body Text Indent 3"/>
    <w:basedOn w:val="653"/>
    <w:link w:val="838"/>
    <w:pPr>
      <w:jc w:val="center"/>
    </w:pPr>
    <w:rPr>
      <w:szCs w:val="20"/>
    </w:rPr>
  </w:style>
  <w:style w:type="character" w:styleId="838" w:customStyle="1">
    <w:name w:val="Основной текст с отступом 3 Знак"/>
    <w:link w:val="837"/>
    <w:rPr>
      <w:sz w:val="24"/>
    </w:rPr>
  </w:style>
  <w:style w:type="paragraph" w:styleId="839">
    <w:name w:val="Body Text Indent"/>
    <w:basedOn w:val="653"/>
    <w:link w:val="840"/>
    <w:pPr>
      <w:ind w:left="283"/>
      <w:spacing w:after="120"/>
    </w:pPr>
  </w:style>
  <w:style w:type="character" w:styleId="840" w:customStyle="1">
    <w:name w:val="Основной текст с отступом Знак"/>
    <w:link w:val="839"/>
    <w:rPr>
      <w:sz w:val="24"/>
      <w:szCs w:val="24"/>
    </w:rPr>
  </w:style>
  <w:style w:type="paragraph" w:styleId="841" w:customStyle="1">
    <w:name w:val="ConsPlusNormal"/>
    <w:rPr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login.consultant.ru/link/?req=doc&amp;base=LAW&amp;n=471024&amp;dst=57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WareZ Provider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www.PHILka.RU</dc:creator>
  <cp:lastModifiedBy>KrutovskayaOS</cp:lastModifiedBy>
  <cp:revision>12</cp:revision>
  <dcterms:created xsi:type="dcterms:W3CDTF">2022-09-15T04:13:00Z</dcterms:created>
  <dcterms:modified xsi:type="dcterms:W3CDTF">2025-09-15T04:31:30Z</dcterms:modified>
  <cp:version>1048576</cp:version>
</cp:coreProperties>
</file>